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9EC" w:rsidRDefault="00984F71" w:rsidP="00CD16A6">
      <w:pPr>
        <w:pStyle w:val="Title"/>
        <w:ind w:left="-426" w:right="-999"/>
        <w:jc w:val="right"/>
      </w:pPr>
      <w:r>
        <w:rPr>
          <w:noProof/>
          <w:lang w:eastAsia="en-IE"/>
        </w:rPr>
        <w:drawing>
          <wp:inline distT="0" distB="0" distL="0" distR="0">
            <wp:extent cx="1814858" cy="942065"/>
            <wp:effectExtent l="0" t="0" r="0" b="0"/>
            <wp:docPr id="9" name="Picture 9" descr="Centre for Excellence in Universal Design and National Disability Authority Logo" title="CEUD/ 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UD-NDA Small Logo Vertical Arrangement_55mm.jpg"/>
                    <pic:cNvPicPr/>
                  </pic:nvPicPr>
                  <pic:blipFill>
                    <a:blip r:embed="rId8">
                      <a:extLst>
                        <a:ext uri="{28A0092B-C50C-407E-A947-70E740481C1C}">
                          <a14:useLocalDpi xmlns:a14="http://schemas.microsoft.com/office/drawing/2010/main" val="0"/>
                        </a:ext>
                      </a:extLst>
                    </a:blip>
                    <a:stretch>
                      <a:fillRect/>
                    </a:stretch>
                  </pic:blipFill>
                  <pic:spPr>
                    <a:xfrm>
                      <a:off x="0" y="0"/>
                      <a:ext cx="1863674" cy="967405"/>
                    </a:xfrm>
                    <a:prstGeom prst="rect">
                      <a:avLst/>
                    </a:prstGeom>
                  </pic:spPr>
                </pic:pic>
              </a:graphicData>
            </a:graphic>
          </wp:inline>
        </w:drawing>
      </w:r>
    </w:p>
    <w:p w:rsidR="002F1849" w:rsidRDefault="002F1849" w:rsidP="002F1849">
      <w:pPr>
        <w:pStyle w:val="Title"/>
        <w:spacing w:before="240" w:after="0"/>
        <w:ind w:left="-426" w:right="-432"/>
        <w:jc w:val="left"/>
      </w:pPr>
      <w:r>
        <w:t xml:space="preserve">Universal Design </w:t>
      </w:r>
    </w:p>
    <w:p w:rsidR="009C4D62" w:rsidRPr="002F1849" w:rsidRDefault="002F1849" w:rsidP="002F1849">
      <w:pPr>
        <w:pStyle w:val="Title"/>
        <w:ind w:left="-426" w:right="-432"/>
        <w:jc w:val="left"/>
        <w:rPr>
          <w:sz w:val="28"/>
          <w:szCs w:val="28"/>
        </w:rPr>
      </w:pPr>
      <w:r w:rsidRPr="002F1849">
        <w:rPr>
          <w:sz w:val="28"/>
          <w:szCs w:val="28"/>
        </w:rPr>
        <w:t>A</w:t>
      </w:r>
      <w:r w:rsidR="00DC09EC" w:rsidRPr="002F1849">
        <w:rPr>
          <w:sz w:val="28"/>
          <w:szCs w:val="28"/>
        </w:rPr>
        <w:t>n overview to considering body size and shape</w:t>
      </w:r>
    </w:p>
    <w:p w:rsidR="009C3BD7" w:rsidRDefault="00DC09EC" w:rsidP="002F1849">
      <w:pPr>
        <w:pStyle w:val="Heading2"/>
        <w:ind w:left="-426" w:right="-432"/>
      </w:pPr>
      <w:r>
        <w:t>Anthropometry</w:t>
      </w:r>
    </w:p>
    <w:p w:rsidR="00DC09EC" w:rsidRDefault="00DC09EC" w:rsidP="002F1849">
      <w:pPr>
        <w:pStyle w:val="BodyText"/>
        <w:spacing w:before="1" w:line="247" w:lineRule="auto"/>
        <w:ind w:left="-426" w:right="-432"/>
        <w:rPr>
          <w:rFonts w:eastAsia="Times New Roman" w:cs="Times New Roman"/>
          <w:sz w:val="26"/>
          <w:lang w:val="en-IE"/>
        </w:rPr>
      </w:pPr>
      <w:r w:rsidRPr="00DC09EC">
        <w:rPr>
          <w:rFonts w:eastAsia="Times New Roman" w:cs="Times New Roman"/>
          <w:sz w:val="26"/>
          <w:lang w:val="en-IE"/>
        </w:rPr>
        <w:t>Anthropometry means "the measure of man". Specifically, it refers to the study of body size and shape, although it is sometimes used casually to refer to Anthropometric Data.</w:t>
      </w:r>
    </w:p>
    <w:p w:rsidR="00632073" w:rsidRPr="00192C6D" w:rsidRDefault="00632073" w:rsidP="002F1849">
      <w:pPr>
        <w:pStyle w:val="BodyText"/>
        <w:spacing w:before="1" w:line="247" w:lineRule="auto"/>
        <w:ind w:left="-426" w:right="-432" w:firstLine="142"/>
        <w:rPr>
          <w:rFonts w:eastAsia="Times New Roman" w:cs="Times New Roman"/>
          <w:sz w:val="20"/>
          <w:szCs w:val="20"/>
          <w:lang w:val="en-IE"/>
        </w:rPr>
      </w:pPr>
    </w:p>
    <w:p w:rsidR="00DC09EC" w:rsidRDefault="00632073" w:rsidP="002F1849">
      <w:pPr>
        <w:pStyle w:val="Heading2"/>
        <w:ind w:left="-426" w:right="-432"/>
      </w:pPr>
      <w:r w:rsidRPr="00DC09EC">
        <w:t>Anthropometric Data</w:t>
      </w:r>
    </w:p>
    <w:p w:rsidR="00DC09EC" w:rsidRPr="00DC09EC" w:rsidRDefault="00DC09EC" w:rsidP="002F1849">
      <w:pPr>
        <w:pStyle w:val="BodyText"/>
        <w:spacing w:before="1" w:line="247" w:lineRule="auto"/>
        <w:ind w:left="-426" w:right="-432"/>
        <w:rPr>
          <w:rFonts w:eastAsia="Times New Roman" w:cs="Times New Roman"/>
          <w:sz w:val="26"/>
          <w:lang w:val="en-IE"/>
        </w:rPr>
      </w:pPr>
      <w:r w:rsidRPr="00DC09EC">
        <w:rPr>
          <w:rFonts w:eastAsia="Times New Roman" w:cs="Times New Roman"/>
          <w:sz w:val="26"/>
          <w:lang w:val="en-IE"/>
        </w:rPr>
        <w:t>These data represent the body size and shape of individuals. Anthropometric data can assist the designer in quantifying some kinds of variability exhibited by potential users of their design. Unfortunately, data specific to a particular population of target users can be difficult to obtain.</w:t>
      </w:r>
    </w:p>
    <w:p w:rsidR="00DC09EC" w:rsidRPr="00DC09EC" w:rsidRDefault="00DC09EC" w:rsidP="00DC09EC">
      <w:pPr>
        <w:pStyle w:val="BodyText"/>
        <w:spacing w:before="1" w:line="247" w:lineRule="auto"/>
        <w:ind w:right="677"/>
        <w:rPr>
          <w:color w:val="231F20"/>
        </w:rPr>
      </w:pPr>
    </w:p>
    <w:tbl>
      <w:tblPr>
        <w:tblStyle w:val="GridTable4-Accent41"/>
        <w:tblW w:w="9215" w:type="dxa"/>
        <w:tblInd w:w="-431" w:type="dxa"/>
        <w:tblLook w:val="04A0" w:firstRow="1" w:lastRow="0" w:firstColumn="1" w:lastColumn="0" w:noHBand="0" w:noVBand="1"/>
        <w:tblCaption w:val="Table"/>
        <w:tblDescription w:val="Table showing sample anthropometric data; Dimensions such as &quot;Abdominal Depth, Sitting&quot; and &quot;Buttock-knee length&quot; shown for &quot;Small&quot;, &quot;Large&quot; and &quot;Design&quot; ranges.  Full set of Dimensions data is avaialbe in the full report at http://www.universaldesign.ie/size "/>
      </w:tblPr>
      <w:tblGrid>
        <w:gridCol w:w="3403"/>
        <w:gridCol w:w="1843"/>
        <w:gridCol w:w="1843"/>
        <w:gridCol w:w="2126"/>
      </w:tblGrid>
      <w:tr w:rsidR="00DC09EC" w:rsidRPr="00DC09EC" w:rsidTr="005646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before="1" w:after="0" w:line="276" w:lineRule="auto"/>
              <w:ind w:right="677"/>
              <w:rPr>
                <w:rFonts w:eastAsia="Gill Sans MT" w:cs="Gill Sans MT"/>
                <w:b w:val="0"/>
                <w:color w:val="231F20"/>
                <w:szCs w:val="26"/>
              </w:rPr>
            </w:pPr>
            <w:r w:rsidRPr="00DC09EC">
              <w:rPr>
                <w:rFonts w:eastAsia="Gill Sans MT" w:cs="Gill Sans MT"/>
                <w:b w:val="0"/>
                <w:color w:val="231F20"/>
                <w:szCs w:val="26"/>
              </w:rPr>
              <w:t>Dimension</w:t>
            </w:r>
          </w:p>
        </w:tc>
        <w:tc>
          <w:tcPr>
            <w:tcW w:w="1843" w:type="dxa"/>
          </w:tcPr>
          <w:p w:rsidR="00DC09EC" w:rsidRPr="00DC09EC" w:rsidRDefault="00DC09EC" w:rsidP="00D61372">
            <w:pPr>
              <w:spacing w:before="1" w:after="0" w:line="276" w:lineRule="auto"/>
              <w:ind w:right="677"/>
              <w:cnfStyle w:val="100000000000" w:firstRow="1" w:lastRow="0" w:firstColumn="0" w:lastColumn="0" w:oddVBand="0" w:evenVBand="0" w:oddHBand="0" w:evenHBand="0" w:firstRowFirstColumn="0" w:firstRowLastColumn="0" w:lastRowFirstColumn="0" w:lastRowLastColumn="0"/>
              <w:rPr>
                <w:rFonts w:eastAsia="Gill Sans MT" w:cs="Gill Sans MT"/>
                <w:b w:val="0"/>
                <w:color w:val="231F20"/>
                <w:szCs w:val="26"/>
              </w:rPr>
            </w:pPr>
            <w:r w:rsidRPr="00DC09EC">
              <w:rPr>
                <w:rFonts w:eastAsia="Gill Sans MT" w:cs="Gill Sans MT"/>
                <w:b w:val="0"/>
                <w:color w:val="231F20"/>
                <w:szCs w:val="26"/>
              </w:rPr>
              <w:t>Small (cm)</w:t>
            </w:r>
          </w:p>
        </w:tc>
        <w:tc>
          <w:tcPr>
            <w:tcW w:w="1843" w:type="dxa"/>
          </w:tcPr>
          <w:p w:rsidR="00DC09EC" w:rsidRPr="00DC09EC" w:rsidRDefault="00DC09EC" w:rsidP="00D61372">
            <w:pPr>
              <w:spacing w:before="1" w:after="0" w:line="276" w:lineRule="auto"/>
              <w:ind w:right="677"/>
              <w:cnfStyle w:val="100000000000" w:firstRow="1" w:lastRow="0" w:firstColumn="0" w:lastColumn="0" w:oddVBand="0" w:evenVBand="0" w:oddHBand="0" w:evenHBand="0" w:firstRowFirstColumn="0" w:firstRowLastColumn="0" w:lastRowFirstColumn="0" w:lastRowLastColumn="0"/>
              <w:rPr>
                <w:rFonts w:eastAsia="Gill Sans MT" w:cs="Gill Sans MT"/>
                <w:b w:val="0"/>
                <w:color w:val="231F20"/>
                <w:szCs w:val="26"/>
              </w:rPr>
            </w:pPr>
            <w:r w:rsidRPr="00DC09EC">
              <w:rPr>
                <w:rFonts w:eastAsia="Gill Sans MT" w:cs="Gill Sans MT"/>
                <w:b w:val="0"/>
                <w:color w:val="231F20"/>
                <w:szCs w:val="26"/>
              </w:rPr>
              <w:t>Large (cm)</w:t>
            </w:r>
          </w:p>
        </w:tc>
        <w:tc>
          <w:tcPr>
            <w:tcW w:w="2126" w:type="dxa"/>
          </w:tcPr>
          <w:p w:rsidR="00DC09EC" w:rsidRPr="00DC09EC" w:rsidRDefault="00DC09EC" w:rsidP="00D61372">
            <w:pPr>
              <w:spacing w:before="1" w:after="0" w:line="276" w:lineRule="auto"/>
              <w:ind w:right="677"/>
              <w:cnfStyle w:val="100000000000" w:firstRow="1" w:lastRow="0" w:firstColumn="0" w:lastColumn="0" w:oddVBand="0" w:evenVBand="0" w:oddHBand="0" w:evenHBand="0" w:firstRowFirstColumn="0" w:firstRowLastColumn="0" w:lastRowFirstColumn="0" w:lastRowLastColumn="0"/>
              <w:rPr>
                <w:rFonts w:eastAsia="Gill Sans MT" w:cs="Gill Sans MT"/>
                <w:b w:val="0"/>
                <w:color w:val="231F20"/>
                <w:szCs w:val="26"/>
              </w:rPr>
            </w:pPr>
            <w:r w:rsidRPr="00DC09EC">
              <w:rPr>
                <w:rFonts w:eastAsia="Gill Sans MT" w:cs="Gill Sans MT"/>
                <w:b w:val="0"/>
                <w:color w:val="231F20"/>
                <w:szCs w:val="26"/>
              </w:rPr>
              <w:t>Design Range (cm)</w:t>
            </w:r>
          </w:p>
        </w:tc>
      </w:tr>
      <w:tr w:rsidR="00DC09EC" w:rsidRPr="00DC09EC" w:rsidTr="0056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after="0" w:line="276" w:lineRule="auto"/>
              <w:ind w:right="42"/>
              <w:rPr>
                <w:rFonts w:eastAsia="Gill Sans MT" w:cs="Gill Sans MT"/>
                <w:szCs w:val="26"/>
              </w:rPr>
            </w:pPr>
            <w:r w:rsidRPr="00DC09EC">
              <w:rPr>
                <w:rFonts w:eastAsia="Gill Sans MT" w:cs="Gill Sans MT"/>
                <w:b w:val="0"/>
                <w:color w:val="020303"/>
                <w:w w:val="95"/>
                <w:szCs w:val="26"/>
              </w:rPr>
              <w:t>Abdominal Depth, Sitting</w:t>
            </w:r>
          </w:p>
        </w:tc>
        <w:tc>
          <w:tcPr>
            <w:tcW w:w="1843" w:type="dxa"/>
          </w:tcPr>
          <w:p w:rsidR="00DC09EC" w:rsidRPr="00DC09EC" w:rsidRDefault="00DC09EC" w:rsidP="00D61372">
            <w:pPr>
              <w:spacing w:after="0" w:line="276" w:lineRule="auto"/>
              <w:ind w:left="114" w:right="43"/>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16.9</w:t>
            </w:r>
          </w:p>
        </w:tc>
        <w:tc>
          <w:tcPr>
            <w:tcW w:w="1843" w:type="dxa"/>
          </w:tcPr>
          <w:p w:rsidR="00DC09EC" w:rsidRPr="00DC09EC" w:rsidRDefault="00DC09EC" w:rsidP="00D61372">
            <w:pPr>
              <w:spacing w:after="0" w:line="276" w:lineRule="auto"/>
              <w:ind w:right="220"/>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w w:val="95"/>
                <w:szCs w:val="26"/>
              </w:rPr>
              <w:t>35.8</w:t>
            </w:r>
          </w:p>
        </w:tc>
        <w:tc>
          <w:tcPr>
            <w:tcW w:w="2126" w:type="dxa"/>
          </w:tcPr>
          <w:p w:rsidR="00DC09EC" w:rsidRPr="00DC09EC" w:rsidRDefault="00DC09EC" w:rsidP="00D61372">
            <w:pPr>
              <w:spacing w:after="0" w:line="276" w:lineRule="auto"/>
              <w:ind w:left="164" w:right="300"/>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18.9</w:t>
            </w:r>
          </w:p>
        </w:tc>
      </w:tr>
      <w:tr w:rsidR="00DC09EC" w:rsidRPr="00DC09EC" w:rsidTr="0056462E">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after="0" w:line="276" w:lineRule="auto"/>
              <w:ind w:right="41"/>
              <w:rPr>
                <w:rFonts w:eastAsia="Gill Sans MT" w:cs="Gill Sans MT"/>
                <w:szCs w:val="26"/>
              </w:rPr>
            </w:pPr>
            <w:r w:rsidRPr="00DC09EC">
              <w:rPr>
                <w:rFonts w:eastAsia="Gill Sans MT" w:cs="Gill Sans MT"/>
                <w:b w:val="0"/>
                <w:color w:val="020303"/>
                <w:w w:val="95"/>
                <w:szCs w:val="26"/>
              </w:rPr>
              <w:t>Buttock-Knee Length</w:t>
            </w:r>
          </w:p>
        </w:tc>
        <w:tc>
          <w:tcPr>
            <w:tcW w:w="1843" w:type="dxa"/>
          </w:tcPr>
          <w:p w:rsidR="00DC09EC" w:rsidRPr="00DC09EC" w:rsidRDefault="00DC09EC" w:rsidP="00D61372">
            <w:pPr>
              <w:spacing w:after="0" w:line="276" w:lineRule="auto"/>
              <w:ind w:left="114" w:right="43"/>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49.7</w:t>
            </w:r>
          </w:p>
        </w:tc>
        <w:tc>
          <w:tcPr>
            <w:tcW w:w="1843" w:type="dxa"/>
          </w:tcPr>
          <w:p w:rsidR="00DC09EC" w:rsidRPr="00DC09EC" w:rsidRDefault="00DC09EC" w:rsidP="00D61372">
            <w:pPr>
              <w:spacing w:after="0" w:line="276" w:lineRule="auto"/>
              <w:ind w:right="220"/>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w w:val="95"/>
                <w:szCs w:val="26"/>
              </w:rPr>
              <w:t>70.3</w:t>
            </w:r>
          </w:p>
        </w:tc>
        <w:tc>
          <w:tcPr>
            <w:tcW w:w="2126" w:type="dxa"/>
          </w:tcPr>
          <w:p w:rsidR="00DC09EC" w:rsidRPr="00DC09EC" w:rsidRDefault="00DC09EC" w:rsidP="00D61372">
            <w:pPr>
              <w:spacing w:after="0" w:line="276" w:lineRule="auto"/>
              <w:ind w:left="164" w:right="300"/>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20.6</w:t>
            </w:r>
          </w:p>
        </w:tc>
      </w:tr>
      <w:tr w:rsidR="00DC09EC" w:rsidRPr="00DC09EC" w:rsidTr="0056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after="0" w:line="276" w:lineRule="auto"/>
              <w:ind w:right="42"/>
              <w:rPr>
                <w:rFonts w:eastAsia="Gill Sans MT" w:cs="Gill Sans MT"/>
                <w:szCs w:val="26"/>
              </w:rPr>
            </w:pPr>
            <w:r w:rsidRPr="00DC09EC">
              <w:rPr>
                <w:rFonts w:eastAsia="Gill Sans MT" w:cs="Gill Sans MT"/>
                <w:b w:val="0"/>
                <w:color w:val="020303"/>
                <w:w w:val="95"/>
                <w:szCs w:val="26"/>
              </w:rPr>
              <w:t>Buttock-Popliteal Length</w:t>
            </w:r>
          </w:p>
        </w:tc>
        <w:tc>
          <w:tcPr>
            <w:tcW w:w="1843" w:type="dxa"/>
          </w:tcPr>
          <w:p w:rsidR="00DC09EC" w:rsidRPr="00DC09EC" w:rsidRDefault="00DC09EC" w:rsidP="00D61372">
            <w:pPr>
              <w:spacing w:after="0" w:line="276" w:lineRule="auto"/>
              <w:ind w:left="114" w:right="43"/>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41</w:t>
            </w:r>
          </w:p>
        </w:tc>
        <w:tc>
          <w:tcPr>
            <w:tcW w:w="1843" w:type="dxa"/>
          </w:tcPr>
          <w:p w:rsidR="00DC09EC" w:rsidRPr="00DC09EC" w:rsidRDefault="00DC09EC" w:rsidP="00D61372">
            <w:pPr>
              <w:spacing w:after="0" w:line="276" w:lineRule="auto"/>
              <w:ind w:right="219"/>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w w:val="95"/>
                <w:szCs w:val="26"/>
              </w:rPr>
              <w:t>56.5</w:t>
            </w:r>
          </w:p>
        </w:tc>
        <w:tc>
          <w:tcPr>
            <w:tcW w:w="2126" w:type="dxa"/>
          </w:tcPr>
          <w:p w:rsidR="00DC09EC" w:rsidRPr="00DC09EC" w:rsidRDefault="00DC09EC" w:rsidP="00D61372">
            <w:pPr>
              <w:spacing w:after="0" w:line="276" w:lineRule="auto"/>
              <w:ind w:left="164" w:right="300"/>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15.5</w:t>
            </w:r>
          </w:p>
        </w:tc>
      </w:tr>
      <w:tr w:rsidR="00DC09EC" w:rsidRPr="00DC09EC" w:rsidTr="0056462E">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after="0" w:line="276" w:lineRule="auto"/>
              <w:ind w:right="42"/>
              <w:rPr>
                <w:rFonts w:eastAsia="Gill Sans MT" w:cs="Gill Sans MT"/>
                <w:szCs w:val="26"/>
              </w:rPr>
            </w:pPr>
            <w:r w:rsidRPr="00DC09EC">
              <w:rPr>
                <w:rFonts w:eastAsia="Gill Sans MT" w:cs="Gill Sans MT"/>
                <w:b w:val="0"/>
                <w:color w:val="020303"/>
                <w:szCs w:val="26"/>
              </w:rPr>
              <w:t>Elbow Grip Length</w:t>
            </w:r>
          </w:p>
        </w:tc>
        <w:tc>
          <w:tcPr>
            <w:tcW w:w="1843" w:type="dxa"/>
          </w:tcPr>
          <w:p w:rsidR="00DC09EC" w:rsidRPr="00DC09EC" w:rsidRDefault="00DC09EC" w:rsidP="00D61372">
            <w:pPr>
              <w:spacing w:after="0" w:line="276" w:lineRule="auto"/>
              <w:ind w:left="114" w:right="43"/>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27</w:t>
            </w:r>
          </w:p>
        </w:tc>
        <w:tc>
          <w:tcPr>
            <w:tcW w:w="1843" w:type="dxa"/>
          </w:tcPr>
          <w:p w:rsidR="00DC09EC" w:rsidRPr="00DC09EC" w:rsidRDefault="00DC09EC" w:rsidP="00D61372">
            <w:pPr>
              <w:spacing w:after="0" w:line="276" w:lineRule="auto"/>
              <w:ind w:right="219"/>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w w:val="95"/>
                <w:szCs w:val="26"/>
              </w:rPr>
              <w:t>39.3</w:t>
            </w:r>
          </w:p>
        </w:tc>
        <w:tc>
          <w:tcPr>
            <w:tcW w:w="2126" w:type="dxa"/>
          </w:tcPr>
          <w:p w:rsidR="00DC09EC" w:rsidRPr="00DC09EC" w:rsidRDefault="00DC09EC" w:rsidP="00D61372">
            <w:pPr>
              <w:spacing w:after="0" w:line="276" w:lineRule="auto"/>
              <w:ind w:left="164" w:right="300"/>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12.3</w:t>
            </w:r>
          </w:p>
        </w:tc>
      </w:tr>
      <w:tr w:rsidR="00DC09EC" w:rsidRPr="00DC09EC" w:rsidTr="0056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after="0" w:line="276" w:lineRule="auto"/>
              <w:ind w:right="42"/>
              <w:rPr>
                <w:rFonts w:eastAsia="Gill Sans MT" w:cs="Gill Sans MT"/>
                <w:szCs w:val="26"/>
              </w:rPr>
            </w:pPr>
            <w:r w:rsidRPr="00DC09EC">
              <w:rPr>
                <w:rFonts w:eastAsia="Gill Sans MT" w:cs="Gill Sans MT"/>
                <w:b w:val="0"/>
                <w:color w:val="020303"/>
                <w:w w:val="95"/>
                <w:szCs w:val="26"/>
              </w:rPr>
              <w:t>Elbow Height</w:t>
            </w:r>
          </w:p>
        </w:tc>
        <w:tc>
          <w:tcPr>
            <w:tcW w:w="1843" w:type="dxa"/>
          </w:tcPr>
          <w:p w:rsidR="00DC09EC" w:rsidRPr="00DC09EC" w:rsidRDefault="00DC09EC" w:rsidP="00D61372">
            <w:pPr>
              <w:spacing w:after="0" w:line="276" w:lineRule="auto"/>
              <w:ind w:left="114" w:right="43"/>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88.9</w:t>
            </w:r>
          </w:p>
        </w:tc>
        <w:tc>
          <w:tcPr>
            <w:tcW w:w="1843" w:type="dxa"/>
          </w:tcPr>
          <w:p w:rsidR="00DC09EC" w:rsidRPr="00DC09EC" w:rsidRDefault="00DC09EC" w:rsidP="00D61372">
            <w:pPr>
              <w:spacing w:after="0" w:line="276" w:lineRule="auto"/>
              <w:ind w:right="165"/>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w w:val="95"/>
                <w:szCs w:val="26"/>
              </w:rPr>
              <w:t>123.9</w:t>
            </w:r>
          </w:p>
        </w:tc>
        <w:tc>
          <w:tcPr>
            <w:tcW w:w="2126" w:type="dxa"/>
          </w:tcPr>
          <w:p w:rsidR="00DC09EC" w:rsidRPr="00DC09EC" w:rsidRDefault="00DC09EC" w:rsidP="00D61372">
            <w:pPr>
              <w:spacing w:after="0" w:line="276" w:lineRule="auto"/>
              <w:ind w:left="164" w:right="300"/>
              <w:cnfStyle w:val="000000100000" w:firstRow="0" w:lastRow="0" w:firstColumn="0" w:lastColumn="0" w:oddVBand="0" w:evenVBand="0" w:oddHBand="1"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35</w:t>
            </w:r>
          </w:p>
        </w:tc>
      </w:tr>
      <w:tr w:rsidR="00DC09EC" w:rsidRPr="00DC09EC" w:rsidTr="0056462E">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after="0" w:line="276" w:lineRule="auto"/>
              <w:ind w:right="43"/>
              <w:rPr>
                <w:rFonts w:eastAsia="Gill Sans MT" w:cs="Gill Sans MT"/>
                <w:szCs w:val="26"/>
              </w:rPr>
            </w:pPr>
            <w:r w:rsidRPr="00DC09EC">
              <w:rPr>
                <w:rFonts w:eastAsia="Gill Sans MT" w:cs="Gill Sans MT"/>
                <w:b w:val="0"/>
                <w:color w:val="020303"/>
                <w:w w:val="95"/>
                <w:szCs w:val="26"/>
              </w:rPr>
              <w:t>Elbow Height, Sitting</w:t>
            </w:r>
          </w:p>
        </w:tc>
        <w:tc>
          <w:tcPr>
            <w:tcW w:w="1843" w:type="dxa"/>
          </w:tcPr>
          <w:p w:rsidR="00DC09EC" w:rsidRPr="00DC09EC" w:rsidRDefault="00DC09EC" w:rsidP="00D61372">
            <w:pPr>
              <w:spacing w:after="0" w:line="276" w:lineRule="auto"/>
              <w:ind w:left="114" w:right="43"/>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18.6</w:t>
            </w:r>
          </w:p>
        </w:tc>
        <w:tc>
          <w:tcPr>
            <w:tcW w:w="1843" w:type="dxa"/>
          </w:tcPr>
          <w:p w:rsidR="00DC09EC" w:rsidRPr="00DC09EC" w:rsidRDefault="00DC09EC" w:rsidP="00D61372">
            <w:pPr>
              <w:spacing w:after="0" w:line="276" w:lineRule="auto"/>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30</w:t>
            </w:r>
          </w:p>
        </w:tc>
        <w:tc>
          <w:tcPr>
            <w:tcW w:w="2126" w:type="dxa"/>
          </w:tcPr>
          <w:p w:rsidR="00DC09EC" w:rsidRPr="00DC09EC" w:rsidRDefault="00DC09EC" w:rsidP="00D61372">
            <w:pPr>
              <w:spacing w:after="0" w:line="276" w:lineRule="auto"/>
              <w:ind w:left="164" w:right="300"/>
              <w:cnfStyle w:val="000000000000" w:firstRow="0" w:lastRow="0" w:firstColumn="0" w:lastColumn="0" w:oddVBand="0" w:evenVBand="0" w:oddHBand="0" w:evenHBand="0" w:firstRowFirstColumn="0" w:firstRowLastColumn="0" w:lastRowFirstColumn="0" w:lastRowLastColumn="0"/>
              <w:rPr>
                <w:rFonts w:eastAsia="Gill Sans MT" w:cs="Gill Sans MT"/>
                <w:szCs w:val="26"/>
              </w:rPr>
            </w:pPr>
            <w:r w:rsidRPr="00DC09EC">
              <w:rPr>
                <w:rFonts w:eastAsia="Gill Sans MT" w:cs="Gill Sans MT"/>
                <w:color w:val="020303"/>
                <w:szCs w:val="26"/>
              </w:rPr>
              <w:t>11.4</w:t>
            </w:r>
          </w:p>
        </w:tc>
      </w:tr>
      <w:tr w:rsidR="00DC09EC" w:rsidRPr="00DC09EC" w:rsidTr="0056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after="0" w:line="276" w:lineRule="auto"/>
              <w:ind w:right="42"/>
              <w:rPr>
                <w:rFonts w:eastAsia="Gill Sans MT" w:cs="Gill Sans MT"/>
                <w:color w:val="020303"/>
                <w:w w:val="95"/>
                <w:szCs w:val="26"/>
              </w:rPr>
            </w:pPr>
            <w:r w:rsidRPr="00DC09EC">
              <w:rPr>
                <w:rFonts w:eastAsia="Gill Sans MT" w:cs="Gill Sans MT"/>
                <w:b w:val="0"/>
                <w:color w:val="020303"/>
                <w:w w:val="95"/>
                <w:szCs w:val="26"/>
              </w:rPr>
              <w:t>Elbow-Elbow Breadth</w:t>
            </w:r>
          </w:p>
        </w:tc>
        <w:tc>
          <w:tcPr>
            <w:tcW w:w="1843" w:type="dxa"/>
          </w:tcPr>
          <w:p w:rsidR="00DC09EC" w:rsidRPr="00DC09EC" w:rsidRDefault="00DC09EC" w:rsidP="00D61372">
            <w:pPr>
              <w:spacing w:after="0" w:line="276" w:lineRule="auto"/>
              <w:ind w:left="114" w:right="43"/>
              <w:cnfStyle w:val="000000100000" w:firstRow="0" w:lastRow="0" w:firstColumn="0" w:lastColumn="0" w:oddVBand="0" w:evenVBand="0" w:oddHBand="1" w:evenHBand="0" w:firstRowFirstColumn="0" w:firstRowLastColumn="0" w:lastRowFirstColumn="0" w:lastRowLastColumn="0"/>
              <w:rPr>
                <w:rFonts w:eastAsia="Gill Sans MT" w:cs="Gill Sans MT"/>
                <w:color w:val="020303"/>
                <w:szCs w:val="26"/>
              </w:rPr>
            </w:pPr>
            <w:r w:rsidRPr="00DC09EC">
              <w:rPr>
                <w:rFonts w:eastAsia="Gill Sans MT" w:cs="Gill Sans MT"/>
                <w:color w:val="020303"/>
                <w:szCs w:val="26"/>
              </w:rPr>
              <w:t>32.2</w:t>
            </w:r>
          </w:p>
        </w:tc>
        <w:tc>
          <w:tcPr>
            <w:tcW w:w="1843" w:type="dxa"/>
          </w:tcPr>
          <w:p w:rsidR="00DC09EC" w:rsidRPr="00DC09EC" w:rsidRDefault="00DC09EC" w:rsidP="00D61372">
            <w:pPr>
              <w:spacing w:after="0" w:line="276" w:lineRule="auto"/>
              <w:ind w:right="219"/>
              <w:cnfStyle w:val="000000100000" w:firstRow="0" w:lastRow="0" w:firstColumn="0" w:lastColumn="0" w:oddVBand="0" w:evenVBand="0" w:oddHBand="1" w:evenHBand="0" w:firstRowFirstColumn="0" w:firstRowLastColumn="0" w:lastRowFirstColumn="0" w:lastRowLastColumn="0"/>
              <w:rPr>
                <w:rFonts w:eastAsia="Gill Sans MT" w:cs="Gill Sans MT"/>
                <w:color w:val="020303"/>
                <w:w w:val="95"/>
                <w:szCs w:val="26"/>
              </w:rPr>
            </w:pPr>
            <w:r w:rsidRPr="00DC09EC">
              <w:rPr>
                <w:rFonts w:eastAsia="Gill Sans MT" w:cs="Gill Sans MT"/>
                <w:color w:val="020303"/>
                <w:w w:val="95"/>
                <w:szCs w:val="26"/>
              </w:rPr>
              <w:t>57.1</w:t>
            </w:r>
          </w:p>
        </w:tc>
        <w:tc>
          <w:tcPr>
            <w:tcW w:w="2126" w:type="dxa"/>
          </w:tcPr>
          <w:p w:rsidR="00DC09EC" w:rsidRPr="00DC09EC" w:rsidRDefault="00DC09EC" w:rsidP="00D61372">
            <w:pPr>
              <w:spacing w:after="0" w:line="276" w:lineRule="auto"/>
              <w:ind w:left="164" w:right="300"/>
              <w:cnfStyle w:val="000000100000" w:firstRow="0" w:lastRow="0" w:firstColumn="0" w:lastColumn="0" w:oddVBand="0" w:evenVBand="0" w:oddHBand="1" w:evenHBand="0" w:firstRowFirstColumn="0" w:firstRowLastColumn="0" w:lastRowFirstColumn="0" w:lastRowLastColumn="0"/>
              <w:rPr>
                <w:rFonts w:eastAsia="Gill Sans MT" w:cs="Gill Sans MT"/>
                <w:color w:val="020303"/>
                <w:szCs w:val="26"/>
              </w:rPr>
            </w:pPr>
            <w:r w:rsidRPr="00DC09EC">
              <w:rPr>
                <w:rFonts w:eastAsia="Gill Sans MT" w:cs="Gill Sans MT"/>
                <w:color w:val="020303"/>
                <w:szCs w:val="26"/>
              </w:rPr>
              <w:t>24.9</w:t>
            </w:r>
          </w:p>
        </w:tc>
      </w:tr>
      <w:tr w:rsidR="00DC09EC" w:rsidRPr="00DC09EC" w:rsidTr="0056462E">
        <w:tc>
          <w:tcPr>
            <w:cnfStyle w:val="001000000000" w:firstRow="0" w:lastRow="0" w:firstColumn="1" w:lastColumn="0" w:oddVBand="0" w:evenVBand="0" w:oddHBand="0" w:evenHBand="0" w:firstRowFirstColumn="0" w:firstRowLastColumn="0" w:lastRowFirstColumn="0" w:lastRowLastColumn="0"/>
            <w:tcW w:w="3403" w:type="dxa"/>
          </w:tcPr>
          <w:p w:rsidR="00DC09EC" w:rsidRPr="00DC09EC" w:rsidRDefault="00DC09EC" w:rsidP="00D61372">
            <w:pPr>
              <w:spacing w:after="0" w:line="276" w:lineRule="auto"/>
              <w:ind w:right="42"/>
              <w:rPr>
                <w:rFonts w:eastAsia="Gill Sans MT" w:cs="Gill Sans MT"/>
                <w:color w:val="020303"/>
                <w:w w:val="95"/>
                <w:szCs w:val="26"/>
              </w:rPr>
            </w:pPr>
            <w:r w:rsidRPr="00DC09EC">
              <w:rPr>
                <w:rFonts w:eastAsia="Gill Sans MT" w:cs="Gill Sans MT"/>
                <w:b w:val="0"/>
                <w:color w:val="020303"/>
                <w:w w:val="95"/>
                <w:szCs w:val="26"/>
              </w:rPr>
              <w:t>Eye Height</w:t>
            </w:r>
          </w:p>
        </w:tc>
        <w:tc>
          <w:tcPr>
            <w:tcW w:w="1843" w:type="dxa"/>
          </w:tcPr>
          <w:p w:rsidR="00DC09EC" w:rsidRPr="00DC09EC" w:rsidRDefault="00DC09EC" w:rsidP="00D61372">
            <w:pPr>
              <w:spacing w:after="0" w:line="276" w:lineRule="auto"/>
              <w:ind w:left="114" w:right="43"/>
              <w:cnfStyle w:val="000000000000" w:firstRow="0" w:lastRow="0" w:firstColumn="0" w:lastColumn="0" w:oddVBand="0" w:evenVBand="0" w:oddHBand="0" w:evenHBand="0" w:firstRowFirstColumn="0" w:firstRowLastColumn="0" w:lastRowFirstColumn="0" w:lastRowLastColumn="0"/>
              <w:rPr>
                <w:rFonts w:eastAsia="Gill Sans MT" w:cs="Gill Sans MT"/>
                <w:color w:val="020303"/>
                <w:szCs w:val="26"/>
              </w:rPr>
            </w:pPr>
            <w:r w:rsidRPr="00DC09EC">
              <w:rPr>
                <w:rFonts w:eastAsia="Gill Sans MT" w:cs="Gill Sans MT"/>
                <w:color w:val="020303"/>
                <w:szCs w:val="26"/>
              </w:rPr>
              <w:t>136.3</w:t>
            </w:r>
          </w:p>
        </w:tc>
        <w:tc>
          <w:tcPr>
            <w:tcW w:w="1843" w:type="dxa"/>
          </w:tcPr>
          <w:p w:rsidR="00DC09EC" w:rsidRPr="00DC09EC" w:rsidRDefault="00DC09EC" w:rsidP="00D61372">
            <w:pPr>
              <w:spacing w:after="0" w:line="276" w:lineRule="auto"/>
              <w:ind w:right="219"/>
              <w:cnfStyle w:val="000000000000" w:firstRow="0" w:lastRow="0" w:firstColumn="0" w:lastColumn="0" w:oddVBand="0" w:evenVBand="0" w:oddHBand="0" w:evenHBand="0" w:firstRowFirstColumn="0" w:firstRowLastColumn="0" w:lastRowFirstColumn="0" w:lastRowLastColumn="0"/>
              <w:rPr>
                <w:rFonts w:eastAsia="Gill Sans MT" w:cs="Gill Sans MT"/>
                <w:color w:val="020303"/>
                <w:w w:val="95"/>
                <w:szCs w:val="26"/>
              </w:rPr>
            </w:pPr>
            <w:r w:rsidRPr="00DC09EC">
              <w:rPr>
                <w:rFonts w:eastAsia="Gill Sans MT" w:cs="Gill Sans MT"/>
                <w:color w:val="020303"/>
                <w:w w:val="95"/>
                <w:szCs w:val="26"/>
              </w:rPr>
              <w:t>184.2</w:t>
            </w:r>
          </w:p>
        </w:tc>
        <w:tc>
          <w:tcPr>
            <w:tcW w:w="2126" w:type="dxa"/>
          </w:tcPr>
          <w:p w:rsidR="00DC09EC" w:rsidRPr="00DC09EC" w:rsidRDefault="00DC09EC" w:rsidP="00D61372">
            <w:pPr>
              <w:spacing w:after="0" w:line="276" w:lineRule="auto"/>
              <w:ind w:left="164" w:right="300"/>
              <w:cnfStyle w:val="000000000000" w:firstRow="0" w:lastRow="0" w:firstColumn="0" w:lastColumn="0" w:oddVBand="0" w:evenVBand="0" w:oddHBand="0" w:evenHBand="0" w:firstRowFirstColumn="0" w:firstRowLastColumn="0" w:lastRowFirstColumn="0" w:lastRowLastColumn="0"/>
              <w:rPr>
                <w:rFonts w:eastAsia="Gill Sans MT" w:cs="Gill Sans MT"/>
                <w:color w:val="020303"/>
                <w:szCs w:val="26"/>
              </w:rPr>
            </w:pPr>
            <w:r w:rsidRPr="00DC09EC">
              <w:rPr>
                <w:rFonts w:eastAsia="Gill Sans MT" w:cs="Gill Sans MT"/>
                <w:color w:val="020303"/>
                <w:szCs w:val="26"/>
              </w:rPr>
              <w:t>47.9</w:t>
            </w:r>
          </w:p>
        </w:tc>
      </w:tr>
    </w:tbl>
    <w:p w:rsidR="00DC09EC" w:rsidRPr="00192C6D" w:rsidRDefault="00DC09EC" w:rsidP="00192C6D">
      <w:pPr>
        <w:spacing w:after="0"/>
        <w:rPr>
          <w:sz w:val="20"/>
          <w:szCs w:val="20"/>
        </w:rPr>
      </w:pPr>
    </w:p>
    <w:p w:rsidR="00D61372" w:rsidRPr="00D61372" w:rsidRDefault="00D61372" w:rsidP="00D61372"/>
    <w:p w:rsidR="00DC09EC" w:rsidRDefault="00DC09EC" w:rsidP="002F1849">
      <w:pPr>
        <w:pStyle w:val="Heading2"/>
        <w:ind w:left="-426" w:right="-432"/>
      </w:pPr>
      <w:r w:rsidRPr="00DC09EC">
        <w:t>Manikins</w:t>
      </w:r>
    </w:p>
    <w:p w:rsidR="00DC09EC" w:rsidRPr="00192C6D" w:rsidRDefault="00DC09EC" w:rsidP="002F1849">
      <w:pPr>
        <w:pStyle w:val="BodyText"/>
        <w:spacing w:before="1" w:line="247" w:lineRule="auto"/>
        <w:ind w:left="-426" w:right="-432"/>
        <w:rPr>
          <w:rFonts w:eastAsia="Times New Roman" w:cs="Times New Roman"/>
          <w:sz w:val="26"/>
          <w:lang w:val="en-IE"/>
        </w:rPr>
      </w:pPr>
      <w:r w:rsidRPr="00DC09EC">
        <w:rPr>
          <w:rFonts w:eastAsia="Times New Roman" w:cs="Times New Roman"/>
          <w:sz w:val="26"/>
          <w:lang w:val="en-IE"/>
        </w:rPr>
        <w:t>Manikins are representations of the human form. They can be purely mathematical, entirely visual, or somewhere in between. Manikins rendered in Computer-aided Design systems are becoming more prevalent for design and are called Digital Huma</w:t>
      </w:r>
      <w:bookmarkStart w:id="0" w:name="_GoBack"/>
      <w:bookmarkEnd w:id="0"/>
      <w:r w:rsidRPr="00DC09EC">
        <w:rPr>
          <w:rFonts w:eastAsia="Times New Roman" w:cs="Times New Roman"/>
          <w:sz w:val="26"/>
          <w:lang w:val="en-IE"/>
        </w:rPr>
        <w:t>n Models (DHMs).</w:t>
      </w:r>
    </w:p>
    <w:p w:rsidR="00DC09EC" w:rsidRDefault="00DC09EC" w:rsidP="00DC09EC">
      <w:r>
        <w:rPr>
          <w:noProof/>
          <w:lang w:eastAsia="en-IE"/>
        </w:rPr>
        <w:drawing>
          <wp:inline distT="0" distB="0" distL="0" distR="0">
            <wp:extent cx="3479800" cy="2325665"/>
            <wp:effectExtent l="0" t="0" r="6350" b="0"/>
            <wp:docPr id="3" name="image3.png" descr="Image of manakins of various sizes" title="Image of Mana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7285" cy="2357401"/>
                    </a:xfrm>
                    <a:prstGeom prst="rect">
                      <a:avLst/>
                    </a:prstGeom>
                  </pic:spPr>
                </pic:pic>
              </a:graphicData>
            </a:graphic>
          </wp:inline>
        </w:drawing>
      </w:r>
    </w:p>
    <w:p w:rsidR="00DC09EC" w:rsidRDefault="00DC09EC" w:rsidP="002F1849">
      <w:pPr>
        <w:pStyle w:val="Heading2"/>
        <w:ind w:left="-567" w:right="-432"/>
      </w:pPr>
      <w:r w:rsidRPr="00DC09EC">
        <w:t>The Myth of the “Average” Person</w:t>
      </w:r>
    </w:p>
    <w:p w:rsidR="00DC09EC" w:rsidRDefault="00DC09EC" w:rsidP="002F1849">
      <w:pPr>
        <w:ind w:left="-567" w:right="-432"/>
      </w:pPr>
      <w:r>
        <w:t>There</w:t>
      </w:r>
      <w:r>
        <w:rPr>
          <w:spacing w:val="-34"/>
        </w:rPr>
        <w:t xml:space="preserve"> </w:t>
      </w:r>
      <w:r>
        <w:t>is</w:t>
      </w:r>
      <w:r>
        <w:rPr>
          <w:spacing w:val="-33"/>
        </w:rPr>
        <w:t xml:space="preserve"> </w:t>
      </w:r>
      <w:r>
        <w:t>no</w:t>
      </w:r>
      <w:r>
        <w:rPr>
          <w:spacing w:val="-46"/>
        </w:rPr>
        <w:t xml:space="preserve"> </w:t>
      </w:r>
      <w:r>
        <w:t>“average”</w:t>
      </w:r>
      <w:r>
        <w:rPr>
          <w:spacing w:val="-43"/>
        </w:rPr>
        <w:t xml:space="preserve"> </w:t>
      </w:r>
      <w:r>
        <w:t>or</w:t>
      </w:r>
      <w:r>
        <w:rPr>
          <w:spacing w:val="-46"/>
        </w:rPr>
        <w:t xml:space="preserve"> </w:t>
      </w:r>
      <w:r>
        <w:t>“ideal”</w:t>
      </w:r>
      <w:r>
        <w:rPr>
          <w:spacing w:val="-43"/>
        </w:rPr>
        <w:t xml:space="preserve"> </w:t>
      </w:r>
      <w:r>
        <w:t>person. Two</w:t>
      </w:r>
      <w:r>
        <w:rPr>
          <w:spacing w:val="-33"/>
        </w:rPr>
        <w:t xml:space="preserve"> </w:t>
      </w:r>
      <w:r>
        <w:t>individuals</w:t>
      </w:r>
      <w:r>
        <w:rPr>
          <w:spacing w:val="-33"/>
        </w:rPr>
        <w:t xml:space="preserve"> </w:t>
      </w:r>
      <w:r>
        <w:t>of</w:t>
      </w:r>
      <w:r>
        <w:rPr>
          <w:spacing w:val="-34"/>
        </w:rPr>
        <w:t xml:space="preserve"> </w:t>
      </w:r>
      <w:r>
        <w:t>average</w:t>
      </w:r>
      <w:r>
        <w:rPr>
          <w:spacing w:val="-33"/>
        </w:rPr>
        <w:t xml:space="preserve"> </w:t>
      </w:r>
      <w:r>
        <w:t>height,</w:t>
      </w:r>
      <w:r>
        <w:rPr>
          <w:spacing w:val="-43"/>
        </w:rPr>
        <w:t xml:space="preserve"> </w:t>
      </w:r>
      <w:r>
        <w:t>for example,</w:t>
      </w:r>
      <w:r>
        <w:rPr>
          <w:spacing w:val="-36"/>
        </w:rPr>
        <w:t xml:space="preserve"> </w:t>
      </w:r>
      <w:r>
        <w:t>might</w:t>
      </w:r>
      <w:r>
        <w:rPr>
          <w:spacing w:val="-22"/>
        </w:rPr>
        <w:t xml:space="preserve"> </w:t>
      </w:r>
      <w:r>
        <w:rPr>
          <w:spacing w:val="-3"/>
        </w:rPr>
        <w:t>have</w:t>
      </w:r>
      <w:r>
        <w:rPr>
          <w:spacing w:val="-22"/>
        </w:rPr>
        <w:t xml:space="preserve"> </w:t>
      </w:r>
      <w:r>
        <w:rPr>
          <w:spacing w:val="3"/>
        </w:rPr>
        <w:t>very</w:t>
      </w:r>
      <w:r>
        <w:rPr>
          <w:spacing w:val="-21"/>
        </w:rPr>
        <w:t xml:space="preserve"> </w:t>
      </w:r>
      <w:r>
        <w:t>different</w:t>
      </w:r>
      <w:r>
        <w:rPr>
          <w:spacing w:val="-22"/>
        </w:rPr>
        <w:t xml:space="preserve"> </w:t>
      </w:r>
      <w:r>
        <w:t>arm</w:t>
      </w:r>
      <w:r>
        <w:rPr>
          <w:spacing w:val="-22"/>
        </w:rPr>
        <w:t xml:space="preserve"> </w:t>
      </w:r>
      <w:r>
        <w:t>lengths,</w:t>
      </w:r>
      <w:r>
        <w:rPr>
          <w:spacing w:val="-35"/>
        </w:rPr>
        <w:t xml:space="preserve"> </w:t>
      </w:r>
      <w:r>
        <w:t>leg</w:t>
      </w:r>
      <w:r>
        <w:rPr>
          <w:spacing w:val="-22"/>
        </w:rPr>
        <w:t xml:space="preserve"> </w:t>
      </w:r>
      <w:r>
        <w:t>lengths,</w:t>
      </w:r>
      <w:r>
        <w:rPr>
          <w:spacing w:val="-36"/>
        </w:rPr>
        <w:t xml:space="preserve"> </w:t>
      </w:r>
      <w:r>
        <w:t>and</w:t>
      </w:r>
      <w:r>
        <w:rPr>
          <w:spacing w:val="-22"/>
        </w:rPr>
        <w:t xml:space="preserve"> </w:t>
      </w:r>
      <w:r>
        <w:t>capabilities. Those conducting Universal Design seek to consider human variability in their</w:t>
      </w:r>
      <w:r>
        <w:rPr>
          <w:spacing w:val="-12"/>
        </w:rPr>
        <w:t xml:space="preserve"> </w:t>
      </w:r>
      <w:r>
        <w:t>work</w:t>
      </w:r>
      <w:r>
        <w:rPr>
          <w:spacing w:val="-12"/>
        </w:rPr>
        <w:t xml:space="preserve"> </w:t>
      </w:r>
      <w:r>
        <w:t>and</w:t>
      </w:r>
      <w:r>
        <w:rPr>
          <w:spacing w:val="-12"/>
        </w:rPr>
        <w:t xml:space="preserve"> </w:t>
      </w:r>
      <w:r>
        <w:t>produce</w:t>
      </w:r>
      <w:r>
        <w:rPr>
          <w:spacing w:val="-12"/>
        </w:rPr>
        <w:t xml:space="preserve"> </w:t>
      </w:r>
      <w:r>
        <w:t>designs</w:t>
      </w:r>
      <w:r>
        <w:rPr>
          <w:spacing w:val="-12"/>
        </w:rPr>
        <w:t xml:space="preserve"> </w:t>
      </w:r>
      <w:r>
        <w:t>that</w:t>
      </w:r>
      <w:r>
        <w:rPr>
          <w:spacing w:val="-12"/>
        </w:rPr>
        <w:t xml:space="preserve"> </w:t>
      </w:r>
      <w:r>
        <w:t>work</w:t>
      </w:r>
      <w:r>
        <w:rPr>
          <w:spacing w:val="-12"/>
        </w:rPr>
        <w:t xml:space="preserve"> </w:t>
      </w:r>
      <w:r>
        <w:t>equally</w:t>
      </w:r>
      <w:r>
        <w:rPr>
          <w:spacing w:val="-12"/>
        </w:rPr>
        <w:t xml:space="preserve"> </w:t>
      </w:r>
      <w:r>
        <w:t>well</w:t>
      </w:r>
      <w:r>
        <w:rPr>
          <w:spacing w:val="-12"/>
        </w:rPr>
        <w:t xml:space="preserve"> </w:t>
      </w:r>
      <w:r>
        <w:t>for</w:t>
      </w:r>
      <w:r>
        <w:rPr>
          <w:spacing w:val="-12"/>
        </w:rPr>
        <w:t xml:space="preserve"> </w:t>
      </w:r>
      <w:r>
        <w:t>everyone.</w:t>
      </w:r>
    </w:p>
    <w:p w:rsidR="00DC09EC" w:rsidRPr="00250757" w:rsidRDefault="00DC09EC" w:rsidP="002F1849">
      <w:pPr>
        <w:pStyle w:val="Heading2"/>
        <w:ind w:left="-567" w:right="-432"/>
      </w:pPr>
      <w:r w:rsidRPr="00DC09EC">
        <w:t>Proportionality Constants</w:t>
      </w:r>
    </w:p>
    <w:p w:rsidR="00DC09EC" w:rsidRDefault="00DC09EC" w:rsidP="002F1849">
      <w:pPr>
        <w:pStyle w:val="BodyText"/>
        <w:spacing w:before="1" w:line="247" w:lineRule="auto"/>
        <w:ind w:left="-567" w:right="-432"/>
        <w:rPr>
          <w:rFonts w:eastAsia="Times New Roman" w:cs="Times New Roman"/>
          <w:sz w:val="26"/>
          <w:lang w:val="en-IE"/>
        </w:rPr>
      </w:pPr>
      <w:r w:rsidRPr="00DC09EC">
        <w:rPr>
          <w:rFonts w:eastAsia="Times New Roman" w:cs="Times New Roman"/>
          <w:sz w:val="26"/>
          <w:lang w:val="en-IE"/>
        </w:rPr>
        <w:t>A tall individual is likely to have longer legs than a shorter individual. Yet, the ratio of leg length to stature might be close to the same for both. The ratio of arms, legs and other body parts to stature varies just as other anthropometric characteristics vary. The so-called Proportionality Constant is the average ratio of one body dimension to another across a population. These average proportions have been tabulated and are</w:t>
      </w:r>
      <w:r w:rsidR="00B644AD">
        <w:rPr>
          <w:rFonts w:eastAsia="Times New Roman" w:cs="Times New Roman"/>
          <w:sz w:val="26"/>
          <w:lang w:val="en-IE"/>
        </w:rPr>
        <w:t xml:space="preserve"> </w:t>
      </w:r>
      <w:r w:rsidRPr="00DC09EC">
        <w:rPr>
          <w:rFonts w:eastAsia="Times New Roman" w:cs="Times New Roman"/>
          <w:sz w:val="26"/>
          <w:lang w:val="en-IE"/>
        </w:rPr>
        <w:t>sometimes used by designers to estimate the</w:t>
      </w:r>
      <w:r w:rsidR="00BA2AC7">
        <w:rPr>
          <w:rFonts w:eastAsia="Times New Roman" w:cs="Times New Roman"/>
          <w:sz w:val="26"/>
          <w:lang w:val="en-IE"/>
        </w:rPr>
        <w:t xml:space="preserve"> specific body dimensions (for example,</w:t>
      </w:r>
      <w:r w:rsidRPr="00DC09EC">
        <w:rPr>
          <w:rFonts w:eastAsia="Times New Roman" w:cs="Times New Roman"/>
          <w:sz w:val="26"/>
          <w:lang w:val="en-IE"/>
        </w:rPr>
        <w:t xml:space="preserve"> leg length) when only general measures like stature are available. But this is not a good practice for many reasons. In particular, these ratios vary across race/ethnicity and are only accurate for “average” individuals, neglecting those whose ratios differ from the mean.</w:t>
      </w:r>
    </w:p>
    <w:p w:rsidR="00B644AD" w:rsidRPr="00DC09EC" w:rsidRDefault="00B644AD" w:rsidP="00BA131E">
      <w:pPr>
        <w:pStyle w:val="Heading1"/>
        <w:ind w:left="-567"/>
      </w:pPr>
      <w:r w:rsidRPr="00B644AD">
        <w:t>Statistics</w:t>
      </w:r>
    </w:p>
    <w:p w:rsidR="00192C6D" w:rsidRDefault="00B644AD" w:rsidP="002F1849">
      <w:pPr>
        <w:pStyle w:val="BodyText"/>
        <w:spacing w:before="143" w:after="240" w:line="247" w:lineRule="auto"/>
        <w:ind w:left="-567" w:right="-432"/>
        <w:rPr>
          <w:rFonts w:eastAsia="Times New Roman" w:cs="Times New Roman"/>
          <w:sz w:val="26"/>
          <w:lang w:val="en-IE"/>
        </w:rPr>
      </w:pPr>
      <w:r w:rsidRPr="00B644AD">
        <w:rPr>
          <w:rFonts w:eastAsia="Times New Roman" w:cs="Times New Roman"/>
          <w:sz w:val="26"/>
          <w:lang w:val="en-IE"/>
        </w:rPr>
        <w:t>Statistics are numerical descriptions of data. In Universal Design, statistics can help to quantify the variability in body si</w:t>
      </w:r>
      <w:r>
        <w:rPr>
          <w:rFonts w:eastAsia="Times New Roman" w:cs="Times New Roman"/>
          <w:sz w:val="26"/>
          <w:lang w:val="en-IE"/>
        </w:rPr>
        <w:t xml:space="preserve">ze and shape that a target user </w:t>
      </w:r>
      <w:r w:rsidRPr="00B644AD">
        <w:rPr>
          <w:rFonts w:eastAsia="Times New Roman" w:cs="Times New Roman"/>
          <w:sz w:val="26"/>
          <w:lang w:val="en-IE"/>
        </w:rPr>
        <w:t>population might exhibit. A good designer considers more than just the average individual, looking at the full range of user characteristics.</w:t>
      </w:r>
    </w:p>
    <w:p w:rsidR="00B644AD" w:rsidRPr="00B644AD" w:rsidRDefault="00B644AD" w:rsidP="002F1849">
      <w:pPr>
        <w:pStyle w:val="Heading2"/>
        <w:ind w:left="-567" w:right="-432"/>
      </w:pPr>
      <w:r>
        <w:t>Distributions</w:t>
      </w:r>
    </w:p>
    <w:p w:rsidR="00B644AD" w:rsidRPr="00B644AD" w:rsidRDefault="00B644AD" w:rsidP="002F1849">
      <w:pPr>
        <w:pStyle w:val="BodyText"/>
        <w:spacing w:before="1" w:line="247" w:lineRule="auto"/>
        <w:ind w:left="-567" w:right="-432"/>
        <w:rPr>
          <w:rFonts w:eastAsia="Times New Roman" w:cs="Times New Roman"/>
          <w:sz w:val="26"/>
          <w:lang w:val="en-IE"/>
        </w:rPr>
      </w:pPr>
      <w:r w:rsidRPr="00B644AD">
        <w:rPr>
          <w:rFonts w:eastAsia="Times New Roman" w:cs="Times New Roman"/>
          <w:sz w:val="26"/>
          <w:lang w:val="en-IE"/>
        </w:rPr>
        <w:t>The frequency of respo</w:t>
      </w:r>
      <w:r w:rsidR="00BA2AC7">
        <w:rPr>
          <w:rFonts w:eastAsia="Times New Roman" w:cs="Times New Roman"/>
          <w:sz w:val="26"/>
          <w:lang w:val="en-IE"/>
        </w:rPr>
        <w:t>nse for some kinds of data (for example</w:t>
      </w:r>
      <w:r w:rsidRPr="00B644AD">
        <w:rPr>
          <w:rFonts w:eastAsia="Times New Roman" w:cs="Times New Roman"/>
          <w:sz w:val="26"/>
          <w:lang w:val="en-IE"/>
        </w:rPr>
        <w:t>, test scores) for a large population often creates a “bell-shaped” curve. This is called a Normal or Gaussian distribution. The distribution of some measures of anth</w:t>
      </w:r>
      <w:r w:rsidR="00BA2AC7">
        <w:rPr>
          <w:rFonts w:eastAsia="Times New Roman" w:cs="Times New Roman"/>
          <w:sz w:val="26"/>
          <w:lang w:val="en-IE"/>
        </w:rPr>
        <w:t xml:space="preserve">ropometry within a population, </w:t>
      </w:r>
      <w:r w:rsidRPr="00B644AD">
        <w:rPr>
          <w:rFonts w:eastAsia="Times New Roman" w:cs="Times New Roman"/>
          <w:sz w:val="26"/>
          <w:lang w:val="en-IE"/>
        </w:rPr>
        <w:t>parti</w:t>
      </w:r>
      <w:r w:rsidR="00BA2AC7">
        <w:rPr>
          <w:rFonts w:eastAsia="Times New Roman" w:cs="Times New Roman"/>
          <w:sz w:val="26"/>
          <w:lang w:val="en-IE"/>
        </w:rPr>
        <w:t xml:space="preserve">cularly measures of length (for example, stature or leg length), </w:t>
      </w:r>
      <w:r w:rsidRPr="00B644AD">
        <w:rPr>
          <w:rFonts w:eastAsia="Times New Roman" w:cs="Times New Roman"/>
          <w:sz w:val="26"/>
          <w:lang w:val="en-IE"/>
        </w:rPr>
        <w:t>can be approximated as normal distributions.</w:t>
      </w:r>
      <w:r w:rsidR="00BA2AC7">
        <w:rPr>
          <w:rFonts w:eastAsia="Times New Roman" w:cs="Times New Roman"/>
          <w:sz w:val="26"/>
          <w:lang w:val="en-IE"/>
        </w:rPr>
        <w:t xml:space="preserve"> </w:t>
      </w:r>
      <w:r w:rsidRPr="00B644AD">
        <w:rPr>
          <w:rFonts w:eastAsia="Times New Roman" w:cs="Times New Roman"/>
          <w:sz w:val="26"/>
          <w:lang w:val="en-IE"/>
        </w:rPr>
        <w:t>Note that some measures, such</w:t>
      </w:r>
      <w:r w:rsidR="00BA2AC7">
        <w:rPr>
          <w:rFonts w:eastAsia="Times New Roman" w:cs="Times New Roman"/>
          <w:sz w:val="26"/>
          <w:lang w:val="en-IE"/>
        </w:rPr>
        <w:t xml:space="preserve"> as</w:t>
      </w:r>
      <w:r w:rsidRPr="00B644AD">
        <w:rPr>
          <w:rFonts w:eastAsia="Times New Roman" w:cs="Times New Roman"/>
          <w:sz w:val="26"/>
          <w:lang w:val="en-IE"/>
        </w:rPr>
        <w:t xml:space="preserve"> mass an</w:t>
      </w:r>
      <w:r w:rsidR="00BA2AC7">
        <w:rPr>
          <w:rFonts w:eastAsia="Times New Roman" w:cs="Times New Roman"/>
          <w:sz w:val="26"/>
          <w:lang w:val="en-IE"/>
        </w:rPr>
        <w:t>d some measures of breadth (for example</w:t>
      </w:r>
      <w:r w:rsidRPr="00B644AD">
        <w:rPr>
          <w:rFonts w:eastAsia="Times New Roman" w:cs="Times New Roman"/>
          <w:sz w:val="26"/>
          <w:lang w:val="en-IE"/>
        </w:rPr>
        <w:t>, seated hip breadth), are known to not be normally distributed within a population.</w:t>
      </w:r>
    </w:p>
    <w:p w:rsidR="00B644AD" w:rsidRDefault="00B644AD" w:rsidP="00BA131E">
      <w:pPr>
        <w:pStyle w:val="BodyText"/>
        <w:spacing w:before="5"/>
        <w:ind w:left="-567"/>
        <w:rPr>
          <w:sz w:val="21"/>
        </w:rPr>
      </w:pPr>
    </w:p>
    <w:p w:rsidR="00B644AD" w:rsidRDefault="00632073" w:rsidP="00B644AD">
      <w:r>
        <w:rPr>
          <w:noProof/>
          <w:lang w:eastAsia="en-IE"/>
        </w:rPr>
        <w:drawing>
          <wp:inline distT="0" distB="0" distL="0" distR="0" wp14:anchorId="721AB08C">
            <wp:extent cx="4057428" cy="2323697"/>
            <wp:effectExtent l="0" t="0" r="635" b="635"/>
            <wp:docPr id="1" name="Picture 1" descr="Graph showing sample Distribution data: x-axis represents frequency, y-axis represents stature in centimetres and mass in kilograms"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729" t="4217" b="4318"/>
                    <a:stretch/>
                  </pic:blipFill>
                  <pic:spPr bwMode="auto">
                    <a:xfrm>
                      <a:off x="0" y="0"/>
                      <a:ext cx="4275437" cy="2448551"/>
                    </a:xfrm>
                    <a:prstGeom prst="rect">
                      <a:avLst/>
                    </a:prstGeom>
                    <a:noFill/>
                    <a:ln>
                      <a:noFill/>
                    </a:ln>
                    <a:extLst>
                      <a:ext uri="{53640926-AAD7-44D8-BBD7-CCE9431645EC}">
                        <a14:shadowObscured xmlns:a14="http://schemas.microsoft.com/office/drawing/2010/main"/>
                      </a:ext>
                    </a:extLst>
                  </pic:spPr>
                </pic:pic>
              </a:graphicData>
            </a:graphic>
          </wp:inline>
        </w:drawing>
      </w:r>
    </w:p>
    <w:p w:rsidR="00C32B46" w:rsidRDefault="00C32B46" w:rsidP="002F1849">
      <w:pPr>
        <w:pStyle w:val="Heading2"/>
        <w:ind w:left="-567" w:right="-432"/>
      </w:pPr>
      <w:r>
        <w:t>Extremes</w:t>
      </w:r>
    </w:p>
    <w:p w:rsidR="00C904A2" w:rsidRPr="00C904A2" w:rsidRDefault="00C904A2" w:rsidP="002F1849">
      <w:pPr>
        <w:pStyle w:val="BodyText"/>
        <w:spacing w:line="247" w:lineRule="auto"/>
        <w:ind w:left="-567" w:right="-432"/>
        <w:rPr>
          <w:rFonts w:eastAsia="Times New Roman" w:cs="Times New Roman"/>
          <w:sz w:val="26"/>
          <w:lang w:val="en-IE"/>
        </w:rPr>
      </w:pPr>
      <w:r w:rsidRPr="00C904A2">
        <w:rPr>
          <w:rFonts w:eastAsia="Times New Roman" w:cs="Times New Roman"/>
          <w:sz w:val="26"/>
          <w:lang w:val="en-IE"/>
        </w:rPr>
        <w:t>Individuals that are average on some measure that is normally distributed are near the middle of the distribution of values for that measure. A person</w:t>
      </w:r>
      <w:r>
        <w:rPr>
          <w:rFonts w:eastAsia="Times New Roman" w:cs="Times New Roman"/>
          <w:sz w:val="26"/>
          <w:lang w:val="en-IE"/>
        </w:rPr>
        <w:t xml:space="preserve"> </w:t>
      </w:r>
      <w:r w:rsidRPr="00C904A2">
        <w:rPr>
          <w:rFonts w:eastAsia="Times New Roman" w:cs="Times New Roman"/>
          <w:sz w:val="26"/>
          <w:lang w:val="en-IE"/>
        </w:rPr>
        <w:t>with more extreme values is said to be in the distributions tail.</w:t>
      </w:r>
      <w:r>
        <w:rPr>
          <w:rFonts w:eastAsia="Times New Roman" w:cs="Times New Roman"/>
          <w:sz w:val="26"/>
          <w:lang w:val="en-IE"/>
        </w:rPr>
        <w:t xml:space="preserve"> </w:t>
      </w:r>
      <w:r w:rsidRPr="00C904A2">
        <w:rPr>
          <w:rFonts w:eastAsia="Times New Roman" w:cs="Times New Roman"/>
          <w:sz w:val="26"/>
          <w:lang w:val="en-IE"/>
        </w:rPr>
        <w:t>Those conducting Universal Design are particularly conscientious of individuals who, due to their body size or capability, are in the tail of some distribution.</w:t>
      </w:r>
    </w:p>
    <w:p w:rsidR="00C904A2" w:rsidRPr="00BA131E" w:rsidRDefault="00C904A2" w:rsidP="00BA131E">
      <w:pPr>
        <w:ind w:left="-284"/>
        <w:rPr>
          <w:sz w:val="20"/>
          <w:szCs w:val="20"/>
        </w:rPr>
      </w:pPr>
    </w:p>
    <w:p w:rsidR="00B644AD" w:rsidRDefault="00F7152B" w:rsidP="00BA131E">
      <w:pPr>
        <w:ind w:left="-284"/>
        <w:rPr>
          <w:sz w:val="20"/>
        </w:rPr>
      </w:pPr>
      <w:r w:rsidRPr="00E03C89">
        <w:rPr>
          <w:noProof/>
          <w:lang w:eastAsia="en-IE"/>
        </w:rPr>
        <w:drawing>
          <wp:inline distT="0" distB="0" distL="0" distR="0" wp14:anchorId="670C41E7" wp14:editId="5C493AD2">
            <wp:extent cx="4394200" cy="2178299"/>
            <wp:effectExtent l="0" t="0" r="6350" b="0"/>
            <wp:docPr id="4" name="Picture 4" descr="Graph showing sample Extremes data: x-axis representing frequency, y-axis representing stature in centimetres"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369" t="16332" r="4174"/>
                    <a:stretch/>
                  </pic:blipFill>
                  <pic:spPr bwMode="auto">
                    <a:xfrm>
                      <a:off x="0" y="0"/>
                      <a:ext cx="4415975" cy="2189093"/>
                    </a:xfrm>
                    <a:prstGeom prst="rect">
                      <a:avLst/>
                    </a:prstGeom>
                    <a:noFill/>
                    <a:ln>
                      <a:noFill/>
                    </a:ln>
                    <a:extLst>
                      <a:ext uri="{53640926-AAD7-44D8-BBD7-CCE9431645EC}">
                        <a14:shadowObscured xmlns:a14="http://schemas.microsoft.com/office/drawing/2010/main"/>
                      </a:ext>
                    </a:extLst>
                  </pic:spPr>
                </pic:pic>
              </a:graphicData>
            </a:graphic>
          </wp:inline>
        </w:drawing>
      </w:r>
    </w:p>
    <w:p w:rsidR="00F7152B" w:rsidRDefault="00F7152B" w:rsidP="002F1849">
      <w:pPr>
        <w:pStyle w:val="Heading2"/>
        <w:ind w:left="-567" w:right="-432"/>
      </w:pPr>
      <w:r>
        <w:t>Percentiles</w:t>
      </w:r>
    </w:p>
    <w:p w:rsidR="00F7152B" w:rsidRDefault="00F7152B" w:rsidP="002F1849">
      <w:pPr>
        <w:pStyle w:val="BodyText"/>
        <w:spacing w:line="247" w:lineRule="auto"/>
        <w:ind w:left="-567" w:right="-432"/>
        <w:rPr>
          <w:rFonts w:eastAsia="Times New Roman" w:cs="Times New Roman"/>
          <w:sz w:val="26"/>
          <w:lang w:val="en-IE"/>
        </w:rPr>
      </w:pPr>
      <w:r w:rsidRPr="00F7152B">
        <w:rPr>
          <w:rFonts w:eastAsia="Times New Roman" w:cs="Times New Roman"/>
          <w:sz w:val="26"/>
          <w:lang w:val="en-IE"/>
        </w:rPr>
        <w:t>It is often helpful to know the range of anthropometric data associated with a particular measure like arm length or leg length. One way to quantify this is through percentiles. For a particular population, the nth-percentile value of a measure is the value at which n% is below that value and 100% - n% is above it.</w:t>
      </w:r>
      <w:r>
        <w:rPr>
          <w:rFonts w:eastAsia="Times New Roman" w:cs="Times New Roman"/>
          <w:sz w:val="26"/>
          <w:lang w:val="en-IE"/>
        </w:rPr>
        <w:t xml:space="preserve"> </w:t>
      </w:r>
      <w:r w:rsidR="007C2AD3">
        <w:rPr>
          <w:rFonts w:eastAsia="Times New Roman" w:cs="Times New Roman"/>
          <w:sz w:val="26"/>
          <w:lang w:val="en-IE"/>
        </w:rPr>
        <w:t>The</w:t>
      </w:r>
      <w:r w:rsidRPr="00F7152B">
        <w:rPr>
          <w:rFonts w:eastAsia="Times New Roman" w:cs="Times New Roman"/>
          <w:sz w:val="26"/>
          <w:lang w:val="en-IE"/>
        </w:rPr>
        <w:t xml:space="preserve"> figure</w:t>
      </w:r>
      <w:r w:rsidR="007C2AD3">
        <w:rPr>
          <w:rFonts w:eastAsia="Times New Roman" w:cs="Times New Roman"/>
          <w:sz w:val="26"/>
          <w:lang w:val="en-IE"/>
        </w:rPr>
        <w:t xml:space="preserve"> below</w:t>
      </w:r>
      <w:r w:rsidRPr="00F7152B">
        <w:rPr>
          <w:rFonts w:eastAsia="Times New Roman" w:cs="Times New Roman"/>
          <w:sz w:val="26"/>
          <w:lang w:val="en-IE"/>
        </w:rPr>
        <w:t xml:space="preserve"> shows stature for 100 women, arranged from shortest to tallest.</w:t>
      </w:r>
      <w:r>
        <w:rPr>
          <w:rFonts w:eastAsia="Times New Roman" w:cs="Times New Roman"/>
          <w:sz w:val="26"/>
          <w:lang w:val="en-IE"/>
        </w:rPr>
        <w:t xml:space="preserve"> </w:t>
      </w:r>
      <w:r w:rsidRPr="00F7152B">
        <w:rPr>
          <w:rFonts w:eastAsia="Times New Roman" w:cs="Times New Roman"/>
          <w:sz w:val="26"/>
          <w:lang w:val="en-IE"/>
        </w:rPr>
        <w:t>The “5th-percentile stature” lies between the 5th and 6th values. A person that is nth</w:t>
      </w:r>
      <w:r w:rsidR="007C2AD3">
        <w:rPr>
          <w:rFonts w:eastAsia="Times New Roman" w:cs="Times New Roman"/>
          <w:sz w:val="26"/>
          <w:lang w:val="en-IE"/>
        </w:rPr>
        <w:t>-percentile on one measure (for example</w:t>
      </w:r>
      <w:r w:rsidRPr="00F7152B">
        <w:rPr>
          <w:rFonts w:eastAsia="Times New Roman" w:cs="Times New Roman"/>
          <w:sz w:val="26"/>
          <w:lang w:val="en-IE"/>
        </w:rPr>
        <w:t>, 5th-percentile stature) will have body dimensions</w:t>
      </w:r>
      <w:r w:rsidR="007C2AD3">
        <w:rPr>
          <w:rFonts w:eastAsia="Times New Roman" w:cs="Times New Roman"/>
          <w:sz w:val="26"/>
          <w:lang w:val="en-IE"/>
        </w:rPr>
        <w:t xml:space="preserve"> of many other percentiles (for example, 15th-percentile leg length or</w:t>
      </w:r>
      <w:r w:rsidRPr="00F7152B">
        <w:rPr>
          <w:rFonts w:eastAsia="Times New Roman" w:cs="Times New Roman"/>
          <w:sz w:val="26"/>
          <w:lang w:val="en-IE"/>
        </w:rPr>
        <w:t xml:space="preserve"> 7</w:t>
      </w:r>
      <w:r w:rsidR="007C2AD3">
        <w:rPr>
          <w:rFonts w:eastAsia="Times New Roman" w:cs="Times New Roman"/>
          <w:sz w:val="26"/>
          <w:lang w:val="en-IE"/>
        </w:rPr>
        <w:t>3rd-percentile hip breadth</w:t>
      </w:r>
      <w:r w:rsidRPr="00F7152B">
        <w:rPr>
          <w:rFonts w:eastAsia="Times New Roman" w:cs="Times New Roman"/>
          <w:sz w:val="26"/>
          <w:lang w:val="en-IE"/>
        </w:rPr>
        <w:t>) and it is unlikely that two people will have the same combination on all measures.</w:t>
      </w:r>
    </w:p>
    <w:p w:rsidR="007C2AD3" w:rsidRDefault="007C2AD3" w:rsidP="00BA131E">
      <w:pPr>
        <w:pStyle w:val="BodyText"/>
        <w:spacing w:line="247" w:lineRule="auto"/>
        <w:ind w:left="-567" w:right="-7"/>
        <w:rPr>
          <w:rFonts w:eastAsia="Times New Roman" w:cs="Times New Roman"/>
          <w:sz w:val="26"/>
          <w:lang w:val="en-IE"/>
        </w:rPr>
      </w:pPr>
      <w:r w:rsidRPr="007C2AD3">
        <w:rPr>
          <w:noProof/>
          <w:lang w:val="en-IE" w:eastAsia="en-IE"/>
        </w:rPr>
        <w:drawing>
          <wp:inline distT="0" distB="0" distL="0" distR="0">
            <wp:extent cx="6255469" cy="3251200"/>
            <wp:effectExtent l="0" t="0" r="0" b="6350"/>
            <wp:docPr id="7" name="Picture 7" descr="Graph showing sample Percentiles data; x-axis representing statures in centimetres, y-axis representing percentile values"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128"/>
                    <a:stretch/>
                  </pic:blipFill>
                  <pic:spPr bwMode="auto">
                    <a:xfrm>
                      <a:off x="0" y="0"/>
                      <a:ext cx="6267135" cy="3257263"/>
                    </a:xfrm>
                    <a:prstGeom prst="rect">
                      <a:avLst/>
                    </a:prstGeom>
                    <a:noFill/>
                    <a:ln>
                      <a:noFill/>
                    </a:ln>
                    <a:extLst>
                      <a:ext uri="{53640926-AAD7-44D8-BBD7-CCE9431645EC}">
                        <a14:shadowObscured xmlns:a14="http://schemas.microsoft.com/office/drawing/2010/main"/>
                      </a:ext>
                    </a:extLst>
                  </pic:spPr>
                </pic:pic>
              </a:graphicData>
            </a:graphic>
          </wp:inline>
        </w:drawing>
      </w:r>
    </w:p>
    <w:p w:rsidR="00F7152B" w:rsidRDefault="00F7152B" w:rsidP="00BA131E">
      <w:pPr>
        <w:pStyle w:val="BodyText"/>
        <w:spacing w:line="247" w:lineRule="auto"/>
        <w:ind w:left="-284" w:right="-7"/>
        <w:rPr>
          <w:rFonts w:eastAsia="Times New Roman" w:cs="Times New Roman"/>
          <w:sz w:val="26"/>
          <w:lang w:val="en-IE"/>
        </w:rPr>
      </w:pPr>
    </w:p>
    <w:p w:rsidR="00F7152B" w:rsidRPr="00F7152B" w:rsidRDefault="00F7152B" w:rsidP="002F1849">
      <w:pPr>
        <w:pStyle w:val="Heading2"/>
        <w:ind w:left="-567" w:right="-432"/>
      </w:pPr>
      <w:r>
        <w:t>Other Factors</w:t>
      </w:r>
    </w:p>
    <w:p w:rsidR="00F7152B" w:rsidRPr="00F7152B" w:rsidRDefault="00F7152B" w:rsidP="002F1849">
      <w:pPr>
        <w:ind w:left="-567" w:right="-432"/>
      </w:pPr>
      <w:r>
        <w:t>Most anthropometric data are collected in ideal conditions and from individuals wearing minimal clothing. This provides an accurate measure of body size and shape, but ignores the effects of factors like clothing, footwear, and protective equipment. These can affect not just the size of the individuals within the population, but their ability to perform particular tasks. Likewise, anthropometric data are capable of predicting some elements of human performance, but ignore others. Developing an effective strategy for quantifying and including these factors is an important skill in Universal Design.</w:t>
      </w:r>
    </w:p>
    <w:p w:rsidR="00DC09EC" w:rsidRPr="00DC09EC" w:rsidRDefault="00DC09EC" w:rsidP="00DC09EC"/>
    <w:sectPr w:rsidR="00DC09EC" w:rsidRPr="00DC09EC" w:rsidSect="00A15C72">
      <w:footerReference w:type="default" r:id="rId13"/>
      <w:pgSz w:w="12240" w:h="15840"/>
      <w:pgMar w:top="851"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89C" w:rsidRDefault="00DB789C">
      <w:r>
        <w:separator/>
      </w:r>
    </w:p>
  </w:endnote>
  <w:endnote w:type="continuationSeparator" w:id="0">
    <w:p w:rsidR="00DB789C" w:rsidRDefault="00DB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ill Sans">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C72" w:rsidRDefault="00A15C72" w:rsidP="00A15C72">
    <w:pPr>
      <w:pStyle w:val="Footer"/>
      <w:jc w:val="center"/>
    </w:pPr>
    <w:r>
      <w:t>FOR MORE INFORMATION AND ADDITIONAL PRIMERS</w:t>
    </w:r>
  </w:p>
  <w:p w:rsidR="00A15C72" w:rsidRDefault="00A15C72" w:rsidP="00A15C72">
    <w:pPr>
      <w:pStyle w:val="Footer"/>
      <w:jc w:val="center"/>
    </w:pPr>
    <w:r>
      <w:t>Additional information and primers on topics including Background,</w:t>
    </w:r>
  </w:p>
  <w:p w:rsidR="00A15C72" w:rsidRDefault="00A15C72" w:rsidP="00A15C72">
    <w:pPr>
      <w:pStyle w:val="Footer"/>
      <w:jc w:val="center"/>
    </w:pPr>
    <w:r>
      <w:t>Design Process, and Best Practices for User Studies available at:</w:t>
    </w:r>
  </w:p>
  <w:p w:rsidR="00A15C72" w:rsidRDefault="00A15C72" w:rsidP="00A15C72">
    <w:pPr>
      <w:pStyle w:val="Footer"/>
      <w:jc w:val="center"/>
    </w:pPr>
    <w:hyperlink r:id="rId1" w:history="1">
      <w:r w:rsidRPr="00DA6FA6">
        <w:rPr>
          <w:rStyle w:val="Hyperlink"/>
        </w:rPr>
        <w:t>www.universaldesign.ie</w:t>
      </w:r>
    </w:hyperlink>
    <w:r>
      <w:t xml:space="preserve"> </w:t>
    </w:r>
  </w:p>
  <w:p w:rsidR="00A15C72" w:rsidRDefault="00A15C72">
    <w:pPr>
      <w:pStyle w:val="Footer"/>
    </w:pPr>
  </w:p>
  <w:p w:rsidR="009C4D62" w:rsidRDefault="009C4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89C" w:rsidRDefault="00DB789C">
      <w:r>
        <w:separator/>
      </w:r>
    </w:p>
  </w:footnote>
  <w:footnote w:type="continuationSeparator" w:id="0">
    <w:p w:rsidR="00DB789C" w:rsidRDefault="00DB78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66E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D4F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568CB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281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3"/>
  </w:num>
  <w:num w:numId="11">
    <w:abstractNumId w:val="2"/>
  </w:num>
  <w:num w:numId="12">
    <w:abstractNumId w:val="2"/>
  </w:num>
  <w:num w:numId="13">
    <w:abstractNumId w:val="5"/>
  </w:num>
  <w:num w:numId="14">
    <w:abstractNumId w:val="4"/>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89C"/>
    <w:rsid w:val="00181FE6"/>
    <w:rsid w:val="00192C6D"/>
    <w:rsid w:val="00287B8E"/>
    <w:rsid w:val="002F1849"/>
    <w:rsid w:val="003A44C8"/>
    <w:rsid w:val="003B10EC"/>
    <w:rsid w:val="004934C9"/>
    <w:rsid w:val="004C5836"/>
    <w:rsid w:val="0056462E"/>
    <w:rsid w:val="00632073"/>
    <w:rsid w:val="006349ED"/>
    <w:rsid w:val="00785D4B"/>
    <w:rsid w:val="007C1D90"/>
    <w:rsid w:val="007C2AD3"/>
    <w:rsid w:val="00831FA1"/>
    <w:rsid w:val="008F29EC"/>
    <w:rsid w:val="009750EB"/>
    <w:rsid w:val="00984F71"/>
    <w:rsid w:val="009C3BD7"/>
    <w:rsid w:val="009C4D62"/>
    <w:rsid w:val="00A05270"/>
    <w:rsid w:val="00A15C72"/>
    <w:rsid w:val="00A268FD"/>
    <w:rsid w:val="00B14618"/>
    <w:rsid w:val="00B40608"/>
    <w:rsid w:val="00B644AD"/>
    <w:rsid w:val="00B76547"/>
    <w:rsid w:val="00BA131E"/>
    <w:rsid w:val="00BA2579"/>
    <w:rsid w:val="00BA2AC7"/>
    <w:rsid w:val="00BC74C2"/>
    <w:rsid w:val="00BE3DCC"/>
    <w:rsid w:val="00C154AE"/>
    <w:rsid w:val="00C32B46"/>
    <w:rsid w:val="00C867C9"/>
    <w:rsid w:val="00C904A2"/>
    <w:rsid w:val="00CD16A6"/>
    <w:rsid w:val="00D61372"/>
    <w:rsid w:val="00D70522"/>
    <w:rsid w:val="00DB789C"/>
    <w:rsid w:val="00DC09EC"/>
    <w:rsid w:val="00DF00F3"/>
    <w:rsid w:val="00F351D6"/>
    <w:rsid w:val="00F7152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4DB697CA-2000-4507-A064-AFC2E83F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link w:val="HeaderChar"/>
    <w:uiPriority w:val="99"/>
    <w:rsid w:val="00F351D6"/>
    <w:pPr>
      <w:tabs>
        <w:tab w:val="center" w:pos="4320"/>
        <w:tab w:val="right" w:pos="8640"/>
      </w:tabs>
      <w:spacing w:after="120"/>
    </w:pPr>
    <w:rPr>
      <w:color w:val="333333"/>
      <w:sz w:val="22"/>
      <w:szCs w:val="20"/>
    </w:rPr>
  </w:style>
  <w:style w:type="character" w:styleId="Hyperlink">
    <w:name w:val="Hyperlink"/>
    <w:rPr>
      <w:color w:val="0000FF"/>
      <w:u w:val="single"/>
    </w:rPr>
  </w:style>
  <w:style w:type="paragraph" w:styleId="ListBullet">
    <w:name w:val="List Bullet"/>
    <w:basedOn w:val="Normal"/>
    <w:pPr>
      <w:numPr>
        <w:numId w:val="2"/>
      </w:numPr>
      <w:spacing w:before="120" w:after="120"/>
    </w:pPr>
  </w:style>
  <w:style w:type="paragraph" w:styleId="ListBullet2">
    <w:name w:val="List Bullet 2"/>
    <w:basedOn w:val="Normal"/>
    <w:pPr>
      <w:numPr>
        <w:numId w:val="4"/>
      </w:numPr>
      <w:spacing w:before="60" w:after="60"/>
    </w:pPr>
  </w:style>
  <w:style w:type="paragraph" w:styleId="ListBullet3">
    <w:name w:val="List Bullet 3"/>
    <w:basedOn w:val="Normal"/>
    <w:pPr>
      <w:numPr>
        <w:numId w:val="6"/>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pPr>
      <w:numPr>
        <w:numId w:val="12"/>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semiHidden/>
    <w:rsid w:val="00287B8E"/>
    <w:pPr>
      <w:spacing w:after="120"/>
    </w:pPr>
    <w:rPr>
      <w:sz w:val="22"/>
      <w:szCs w:val="20"/>
    </w:rPr>
  </w:style>
  <w:style w:type="paragraph" w:styleId="TOC2">
    <w:name w:val="toc 2"/>
    <w:basedOn w:val="Normal"/>
    <w:next w:val="Normal"/>
    <w:autoRedefine/>
    <w:rsid w:val="00F351D6"/>
    <w:pPr>
      <w:keepLines/>
      <w:spacing w:after="60"/>
      <w:ind w:left="261"/>
    </w:pPr>
  </w:style>
  <w:style w:type="paragraph" w:customStyle="1" w:styleId="NormalAfterList">
    <w:name w:val="Normal (After List)"/>
    <w:basedOn w:val="Normal"/>
    <w:qFormat/>
    <w:rsid w:val="00C154AE"/>
    <w:pPr>
      <w:spacing w:before="120"/>
    </w:pPr>
  </w:style>
  <w:style w:type="character" w:styleId="FootnoteReference">
    <w:name w:val="footnote reference"/>
    <w:rsid w:val="00287B8E"/>
    <w:rPr>
      <w:rFonts w:ascii="Gill Sans" w:hAnsi="Gill Sans"/>
      <w:sz w:val="22"/>
      <w:vertAlign w:val="superscript"/>
    </w:rPr>
  </w:style>
  <w:style w:type="character" w:styleId="Strong">
    <w:name w:val="Strong"/>
    <w:basedOn w:val="DefaultParagraphFont"/>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character" w:customStyle="1" w:styleId="HeaderChar">
    <w:name w:val="Header Char"/>
    <w:basedOn w:val="DefaultParagraphFont"/>
    <w:link w:val="Header"/>
    <w:uiPriority w:val="99"/>
    <w:rsid w:val="00DC09EC"/>
    <w:rPr>
      <w:rFonts w:ascii="Gill Sans MT" w:eastAsia="Times New Roman" w:hAnsi="Gill Sans MT"/>
      <w:color w:val="333333"/>
      <w:sz w:val="22"/>
      <w:lang w:eastAsia="en-US"/>
    </w:rPr>
  </w:style>
  <w:style w:type="paragraph" w:styleId="BodyText">
    <w:name w:val="Body Text"/>
    <w:basedOn w:val="Normal"/>
    <w:link w:val="BodyTextChar"/>
    <w:uiPriority w:val="1"/>
    <w:qFormat/>
    <w:rsid w:val="00DC09EC"/>
    <w:pPr>
      <w:widowControl w:val="0"/>
      <w:autoSpaceDE w:val="0"/>
      <w:autoSpaceDN w:val="0"/>
      <w:spacing w:after="0"/>
    </w:pPr>
    <w:rPr>
      <w:rFonts w:eastAsia="Gill Sans MT" w:cs="Gill Sans MT"/>
      <w:sz w:val="24"/>
      <w:lang w:val="en-US"/>
    </w:rPr>
  </w:style>
  <w:style w:type="character" w:customStyle="1" w:styleId="BodyTextChar">
    <w:name w:val="Body Text Char"/>
    <w:basedOn w:val="DefaultParagraphFont"/>
    <w:link w:val="BodyText"/>
    <w:uiPriority w:val="1"/>
    <w:rsid w:val="00DC09EC"/>
    <w:rPr>
      <w:rFonts w:ascii="Gill Sans MT" w:eastAsia="Gill Sans MT" w:hAnsi="Gill Sans MT" w:cs="Gill Sans MT"/>
      <w:sz w:val="24"/>
      <w:szCs w:val="24"/>
      <w:lang w:val="en-US" w:eastAsia="en-US"/>
    </w:rPr>
  </w:style>
  <w:style w:type="table" w:customStyle="1" w:styleId="GridTable4-Accent41">
    <w:name w:val="Grid Table 4 - Accent 41"/>
    <w:basedOn w:val="TableNormal"/>
    <w:next w:val="GridTable4-Accent4"/>
    <w:uiPriority w:val="49"/>
    <w:rsid w:val="00DC09EC"/>
    <w:pPr>
      <w:widowControl w:val="0"/>
      <w:autoSpaceDE w:val="0"/>
      <w:autoSpaceDN w:val="0"/>
    </w:pPr>
    <w:rPr>
      <w:rFonts w:ascii="Calibri" w:eastAsia="Calibri" w:hAnsi="Calibri"/>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4-Accent4">
    <w:name w:val="Grid Table 4 Accent 4"/>
    <w:basedOn w:val="TableNormal"/>
    <w:uiPriority w:val="49"/>
    <w:rsid w:val="00DC09E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ooterChar">
    <w:name w:val="Footer Char"/>
    <w:basedOn w:val="DefaultParagraphFont"/>
    <w:link w:val="Footer"/>
    <w:uiPriority w:val="99"/>
    <w:rsid w:val="00984F71"/>
    <w:rPr>
      <w:rFonts w:ascii="Gill Sans MT" w:eastAsia="Times New Roman" w:hAnsi="Gill Sans MT"/>
      <w:color w:val="3232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niversaldesign.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83F31-82DA-4597-B4A2-4F1F2C93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110</TotalTime>
  <Pages>4</Pages>
  <Words>761</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O'Meara</dc:creator>
  <cp:keywords/>
  <cp:lastModifiedBy>Elizabeth O'Meara</cp:lastModifiedBy>
  <cp:revision>6</cp:revision>
  <dcterms:created xsi:type="dcterms:W3CDTF">2022-12-08T16:02:00Z</dcterms:created>
  <dcterms:modified xsi:type="dcterms:W3CDTF">2023-01-23T15:41:00Z</dcterms:modified>
</cp:coreProperties>
</file>